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РЕГИСТРАЦИИ ЗАЛОГА ЖИЛЫХ ПОМЕЩЕНИЙ
</w:t>
      </w:r>
    </w:p>
    <w:p>
      <w:r>
        <w:t xml:space="preserve">г. Москва                N_____________  "__"______________ 199_г.
</w:t>
      </w:r>
    </w:p>
    <w:p>
      <w:r>
        <w:t xml:space="preserve">Настоящим  Свидетельством  удостоверяется,  что  залог  жилого
</w:t>
      </w:r>
    </w:p>
    <w:p>
      <w:r>
        <w:t xml:space="preserve">помещения по адресу:______________________________________________
</w:t>
      </w:r>
    </w:p>
    <w:p>
      <w:r>
        <w:t xml:space="preserve">(улица, проспект, бульвар, переулок)
</w:t>
      </w:r>
    </w:p>
    <w:p>
      <w:r>
        <w:t xml:space="preserve">дом N__________, корп. N_____________,кв._______ по договору между
</w:t>
      </w:r>
    </w:p>
    <w:p>
      <w:r>
        <w:t xml:space="preserve">законодателем_____________________________________________________
</w:t>
      </w:r>
    </w:p>
    <w:p>
      <w:r>
        <w:t xml:space="preserve">и залогодержателем________________________________________________
</w:t>
      </w:r>
    </w:p>
    <w:p>
      <w:r>
        <w:t xml:space="preserve">(организация, его юридический адрес)
</w:t>
      </w:r>
    </w:p>
    <w:p>
      <w:r>
        <w:t xml:space="preserve">удостоверенному государственной нотариальной конторой г. Москвы N_
</w:t>
      </w:r>
    </w:p>
    <w:p>
      <w:r>
        <w:t xml:space="preserve">зарегистрирован в Департаменте муниципального жилья
</w:t>
      </w:r>
    </w:p>
    <w:p>
      <w:r>
        <w:t xml:space="preserve">"__"_______________199_г. реестр N________________
</w:t>
      </w:r>
    </w:p>
    <w:p>
      <w:r>
        <w:t xml:space="preserve">Залоговая стоимость (сумма) жилого помещения на
</w:t>
      </w:r>
    </w:p>
    <w:p>
      <w:r>
        <w:t xml:space="preserve">"__"_______________199_г._____________________________________руб.
</w:t>
      </w:r>
    </w:p>
    <w:p>
      <w:r>
        <w:t xml:space="preserve">__________________________________________________________________
</w:t>
      </w:r>
    </w:p>
    <w:p>
      <w:r>
        <w:t xml:space="preserve">(должность, ф.и.о. лица, выдавшего свидетельство)
</w:t>
      </w:r>
    </w:p>
    <w:p>
      <w:r>
        <w:t xml:space="preserve">М.П.
</w:t>
      </w:r>
    </w:p>
    <w:p>
      <w:r>
        <w:t xml:space="preserve">Следует  учесть,   что  и   вышеупомянутые   акты  применяются
</w:t>
      </w:r>
    </w:p>
    <w:p>
      <w:r>
        <w:t xml:space="preserve">постольку, поскольку  они не  противоречат нормам  ГК и  Закона об
</w:t>
      </w:r>
    </w:p>
    <w:p>
      <w:r>
        <w:t xml:space="preserve">ипотеке. Нормы  самого ГК  применяются  к ипотеке  в  той мере,  в
</w:t>
      </w:r>
    </w:p>
    <w:p>
      <w:r>
        <w:t xml:space="preserve">которой Законом об ипотеке не будет установлено иное.
</w:t>
      </w:r>
    </w:p>
    <w:p>
      <w:r>
        <w:t xml:space="preserve">4. Комментируемая статья исходит из того,  что залог возникает
</w:t>
      </w:r>
    </w:p>
    <w:p>
      <w:r>
        <w:t xml:space="preserve">в силу  договора. Иначе  говоря, стороны  сами  свободны в  выборе
</w:t>
      </w:r>
    </w:p>
    <w:p>
      <w:r>
        <w:t xml:space="preserve">данного способа  исполнения обязательства.  Однако в  ряде случаев
</w:t>
      </w:r>
    </w:p>
    <w:p>
      <w:r>
        <w:t xml:space="preserve">залог возникает  и на  основании закона.  Но  при этом  необходимы
</w:t>
      </w:r>
    </w:p>
    <w:p>
      <w:r>
        <w:t xml:space="preserve">следующие условия:
</w:t>
      </w:r>
    </w:p>
    <w:p>
      <w:r>
        <w:t xml:space="preserve">- в законе должно  быть указано какое  имущество может служить
</w:t>
      </w:r>
    </w:p>
    <w:p>
      <w:r>
        <w:t xml:space="preserve">предметом залога;
</w:t>
      </w:r>
    </w:p>
    <w:p>
      <w:r>
        <w:t xml:space="preserve">-  в  законе  должен  быть  также  решен  вопрос  о  том,  для
</w:t>
      </w:r>
    </w:p>
    <w:p>
      <w:r>
        <w:t xml:space="preserve">обеспечения исполнения какого конкретного обязательства упомянутое
</w:t>
      </w:r>
    </w:p>
    <w:p>
      <w:r>
        <w:t xml:space="preserve">имущество допускается в качестве предмета залога.
</w:t>
      </w:r>
    </w:p>
    <w:p>
      <w:r>
        <w:t xml:space="preserve">Примером может  служить  статья  122  Таможенного Кодекса  РФ,
</w:t>
      </w:r>
    </w:p>
    <w:p>
      <w:r>
        <w:t xml:space="preserve">которая регулирует  возникновение  залога  для обеспечения  уплаты
</w:t>
      </w:r>
    </w:p>
    <w:p>
      <w:r>
        <w:t xml:space="preserve">таможенных платежей, НДС, акцизом.  В ст. 122  Таможенного Кодекса
</w:t>
      </w:r>
    </w:p>
    <w:p>
      <w:r>
        <w:t xml:space="preserve">указано также,  какое  имущество  может служить  предметом  залога
</w:t>
      </w:r>
    </w:p>
    <w:p>
      <w:r>
        <w:t xml:space="preserve">(транспортные  средства,  товары).  В  принятом  в  развитие  норм
</w:t>
      </w:r>
    </w:p>
    <w:p>
      <w:r>
        <w:t xml:space="preserve">Таможенного Кодекса Положении об  использовании залога таможенными
</w:t>
      </w:r>
    </w:p>
    <w:p>
      <w:r>
        <w:t xml:space="preserve">органами РФ  (утв.  прик.  ГТК N  71  от  22.02.94) указаны  также
</w:t>
      </w:r>
    </w:p>
    <w:p>
      <w:r>
        <w:t xml:space="preserve">предметы, которые  не могут  служить предметом  залога  с участием
</w:t>
      </w:r>
    </w:p>
    <w:p>
      <w:r>
        <w:t xml:space="preserve">таможенных   органов    (электроэнергия,   предприятия,    здания,
</w:t>
      </w:r>
    </w:p>
    <w:p>
      <w:r>
        <w:t xml:space="preserve">сооружения, земельные участки, имущественные права и т. д. (п. 1.2
</w:t>
      </w:r>
    </w:p>
    <w:p>
      <w:r>
        <w:t xml:space="preserve">Приложения).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2023-10-10T09:38:46.379Z</dcterms:created>
  <dcterms:modified xsi:type="dcterms:W3CDTF">2023-10-10T09:38:46.379Z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